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20" w:rsidRDefault="00347220" w:rsidP="00347220">
      <w:pPr>
        <w:pStyle w:val="Paragrafoelenco"/>
        <w:widowControl w:val="0"/>
        <w:tabs>
          <w:tab w:val="left" w:pos="5833"/>
        </w:tabs>
        <w:spacing w:line="240" w:lineRule="auto"/>
        <w:ind w:left="0" w:right="72"/>
        <w:contextualSpacing/>
        <w:jc w:val="both"/>
        <w:rPr>
          <w:b/>
          <w:sz w:val="28"/>
          <w:szCs w:val="28"/>
        </w:rPr>
      </w:pPr>
      <w:r w:rsidRPr="00260C47">
        <w:rPr>
          <w:b/>
          <w:sz w:val="28"/>
          <w:szCs w:val="28"/>
        </w:rPr>
        <w:t xml:space="preserve">SCHEDA </w:t>
      </w:r>
      <w:r>
        <w:rPr>
          <w:b/>
          <w:sz w:val="28"/>
          <w:szCs w:val="28"/>
        </w:rPr>
        <w:t xml:space="preserve">TECNICA NODO </w:t>
      </w:r>
      <w:proofErr w:type="spellStart"/>
      <w:r>
        <w:rPr>
          <w:b/>
          <w:sz w:val="28"/>
          <w:szCs w:val="28"/>
        </w:rPr>
        <w:t>DI</w:t>
      </w:r>
      <w:proofErr w:type="spellEnd"/>
      <w:r>
        <w:rPr>
          <w:b/>
          <w:sz w:val="28"/>
          <w:szCs w:val="28"/>
        </w:rPr>
        <w:t xml:space="preserve"> NOTO</w:t>
      </w:r>
    </w:p>
    <w:p w:rsidR="00DC367F" w:rsidRPr="00260C47" w:rsidRDefault="00DC367F" w:rsidP="00347220">
      <w:pPr>
        <w:pStyle w:val="Paragrafoelenco"/>
        <w:widowControl w:val="0"/>
        <w:tabs>
          <w:tab w:val="left" w:pos="5833"/>
        </w:tabs>
        <w:spacing w:line="240" w:lineRule="auto"/>
        <w:ind w:left="0" w:right="72"/>
        <w:contextualSpacing/>
        <w:jc w:val="both"/>
        <w:rPr>
          <w:b/>
          <w:sz w:val="28"/>
          <w:szCs w:val="28"/>
        </w:rPr>
      </w:pPr>
    </w:p>
    <w:p w:rsidR="00347220" w:rsidRPr="00753072" w:rsidRDefault="00347220" w:rsidP="00347220">
      <w:pPr>
        <w:pStyle w:val="Paragrafoelenco"/>
        <w:widowControl w:val="0"/>
        <w:spacing w:line="240" w:lineRule="auto"/>
        <w:ind w:left="0" w:right="72"/>
        <w:contextualSpacing/>
        <w:jc w:val="both"/>
        <w:rPr>
          <w:sz w:val="18"/>
          <w:szCs w:val="18"/>
        </w:rPr>
      </w:pPr>
      <w:r w:rsidRPr="00753072">
        <w:rPr>
          <w:sz w:val="18"/>
          <w:szCs w:val="18"/>
        </w:rPr>
        <w:t xml:space="preserve">Il tracciato in esame si sviluppa principalmente in rilevato (circa il 60%) per una lunghezza totale di </w:t>
      </w:r>
      <w:smartTag w:uri="urn:schemas-microsoft-com:office:smarttags" w:element="metricconverter">
        <w:smartTagPr>
          <w:attr w:name="ProductID" w:val="5768,90 m"/>
        </w:smartTagPr>
        <w:r w:rsidRPr="00753072">
          <w:rPr>
            <w:sz w:val="18"/>
            <w:szCs w:val="18"/>
          </w:rPr>
          <w:t>5768,90 m</w:t>
        </w:r>
      </w:smartTag>
      <w:r w:rsidRPr="00753072">
        <w:rPr>
          <w:sz w:val="18"/>
          <w:szCs w:val="18"/>
        </w:rPr>
        <w:t xml:space="preserve">, mentre il tratto in scavo o trincea (pari al 40% circa dello sviluppo dell’intero tracciato) si estende per </w:t>
      </w:r>
      <w:smartTag w:uri="urn:schemas-microsoft-com:office:smarttags" w:element="metricconverter">
        <w:smartTagPr>
          <w:attr w:name="ProductID" w:val="3827,36 m"/>
        </w:smartTagPr>
        <w:r w:rsidRPr="00753072">
          <w:rPr>
            <w:sz w:val="18"/>
            <w:szCs w:val="18"/>
          </w:rPr>
          <w:t>3827,36 m</w:t>
        </w:r>
      </w:smartTag>
      <w:r w:rsidRPr="00753072">
        <w:rPr>
          <w:sz w:val="18"/>
          <w:szCs w:val="18"/>
        </w:rPr>
        <w:t xml:space="preserve">. </w:t>
      </w:r>
    </w:p>
    <w:p w:rsidR="00347220" w:rsidRPr="00753072" w:rsidRDefault="00347220" w:rsidP="00347220">
      <w:pPr>
        <w:spacing w:line="240" w:lineRule="auto"/>
        <w:ind w:right="72"/>
        <w:jc w:val="both"/>
        <w:rPr>
          <w:sz w:val="18"/>
          <w:szCs w:val="18"/>
        </w:rPr>
      </w:pPr>
      <w:r w:rsidRPr="00753072">
        <w:rPr>
          <w:sz w:val="18"/>
          <w:szCs w:val="18"/>
        </w:rPr>
        <w:t>Il progetto prevede la realizzazione di 5 rotatorie di cui 4 collegate tra di loro e che vanno a disciplinare l’intero traffico veicolare nell’area in esame. Queste, di seguito riportate, sono state denominate secondo il nome della località o della contrada in cui si inseriscono:</w:t>
      </w:r>
    </w:p>
    <w:p w:rsidR="00347220" w:rsidRPr="00282DD8" w:rsidRDefault="00347220" w:rsidP="00282DD8">
      <w:pPr>
        <w:pStyle w:val="Paragrafoelenco"/>
        <w:numPr>
          <w:ilvl w:val="0"/>
          <w:numId w:val="2"/>
        </w:numPr>
        <w:spacing w:line="240" w:lineRule="auto"/>
        <w:ind w:right="72"/>
        <w:jc w:val="both"/>
        <w:rPr>
          <w:sz w:val="18"/>
          <w:szCs w:val="18"/>
        </w:rPr>
      </w:pPr>
      <w:r w:rsidRPr="00282DD8">
        <w:rPr>
          <w:sz w:val="18"/>
          <w:szCs w:val="18"/>
        </w:rPr>
        <w:t xml:space="preserve">Sistema Rotatorie </w:t>
      </w:r>
      <w:proofErr w:type="spellStart"/>
      <w:r w:rsidRPr="00282DD8">
        <w:rPr>
          <w:sz w:val="18"/>
          <w:szCs w:val="18"/>
        </w:rPr>
        <w:t>Zupparda</w:t>
      </w:r>
      <w:proofErr w:type="spellEnd"/>
      <w:r w:rsidRPr="00282DD8">
        <w:rPr>
          <w:sz w:val="18"/>
          <w:szCs w:val="18"/>
        </w:rPr>
        <w:t xml:space="preserve"> – </w:t>
      </w:r>
      <w:proofErr w:type="spellStart"/>
      <w:r w:rsidRPr="00282DD8">
        <w:rPr>
          <w:sz w:val="18"/>
          <w:szCs w:val="18"/>
        </w:rPr>
        <w:t>Niura</w:t>
      </w:r>
      <w:proofErr w:type="spellEnd"/>
    </w:p>
    <w:p w:rsidR="00347220" w:rsidRPr="00282DD8" w:rsidRDefault="00347220" w:rsidP="00282DD8">
      <w:pPr>
        <w:pStyle w:val="Paragrafoelenco"/>
        <w:numPr>
          <w:ilvl w:val="0"/>
          <w:numId w:val="2"/>
        </w:numPr>
        <w:spacing w:line="240" w:lineRule="auto"/>
        <w:ind w:right="72"/>
        <w:jc w:val="both"/>
        <w:rPr>
          <w:sz w:val="18"/>
          <w:szCs w:val="18"/>
        </w:rPr>
      </w:pPr>
      <w:r w:rsidRPr="00282DD8">
        <w:rPr>
          <w:sz w:val="18"/>
          <w:szCs w:val="18"/>
        </w:rPr>
        <w:t xml:space="preserve">Rotatoria </w:t>
      </w:r>
      <w:proofErr w:type="spellStart"/>
      <w:r w:rsidRPr="00282DD8">
        <w:rPr>
          <w:sz w:val="18"/>
          <w:szCs w:val="18"/>
        </w:rPr>
        <w:t>Gioi</w:t>
      </w:r>
      <w:proofErr w:type="spellEnd"/>
    </w:p>
    <w:p w:rsidR="00282DD8" w:rsidRPr="00282DD8" w:rsidRDefault="00347220" w:rsidP="00282DD8">
      <w:pPr>
        <w:pStyle w:val="Paragrafoelenco"/>
        <w:numPr>
          <w:ilvl w:val="0"/>
          <w:numId w:val="2"/>
        </w:numPr>
        <w:spacing w:line="240" w:lineRule="auto"/>
        <w:ind w:right="72"/>
        <w:jc w:val="both"/>
        <w:rPr>
          <w:sz w:val="18"/>
          <w:szCs w:val="18"/>
        </w:rPr>
      </w:pPr>
      <w:r w:rsidRPr="00282DD8">
        <w:rPr>
          <w:sz w:val="18"/>
          <w:szCs w:val="18"/>
        </w:rPr>
        <w:t xml:space="preserve">Rotatoria </w:t>
      </w:r>
      <w:proofErr w:type="spellStart"/>
      <w:r w:rsidRPr="00282DD8">
        <w:rPr>
          <w:sz w:val="18"/>
          <w:szCs w:val="18"/>
        </w:rPr>
        <w:t>Bonfanti</w:t>
      </w:r>
      <w:proofErr w:type="spellEnd"/>
    </w:p>
    <w:p w:rsidR="00347220" w:rsidRPr="00282DD8" w:rsidRDefault="00347220" w:rsidP="00282DD8">
      <w:pPr>
        <w:pStyle w:val="Paragrafoelenco"/>
        <w:numPr>
          <w:ilvl w:val="0"/>
          <w:numId w:val="2"/>
        </w:numPr>
        <w:spacing w:line="240" w:lineRule="auto"/>
        <w:ind w:right="72"/>
        <w:jc w:val="both"/>
        <w:rPr>
          <w:sz w:val="18"/>
          <w:szCs w:val="18"/>
        </w:rPr>
      </w:pPr>
      <w:r w:rsidRPr="00282DD8">
        <w:rPr>
          <w:sz w:val="18"/>
          <w:szCs w:val="18"/>
        </w:rPr>
        <w:t xml:space="preserve">Rotatoria </w:t>
      </w:r>
      <w:proofErr w:type="spellStart"/>
      <w:r w:rsidRPr="00282DD8">
        <w:rPr>
          <w:sz w:val="18"/>
          <w:szCs w:val="18"/>
        </w:rPr>
        <w:t>Pizzuta</w:t>
      </w:r>
      <w:proofErr w:type="spellEnd"/>
    </w:p>
    <w:p w:rsidR="00347220" w:rsidRPr="00282DD8" w:rsidRDefault="00347220" w:rsidP="00282DD8">
      <w:pPr>
        <w:pStyle w:val="Paragrafoelenco"/>
        <w:numPr>
          <w:ilvl w:val="0"/>
          <w:numId w:val="2"/>
        </w:numPr>
        <w:spacing w:line="240" w:lineRule="auto"/>
        <w:ind w:right="72"/>
        <w:jc w:val="both"/>
        <w:rPr>
          <w:sz w:val="18"/>
          <w:szCs w:val="18"/>
        </w:rPr>
      </w:pPr>
      <w:r w:rsidRPr="00282DD8">
        <w:rPr>
          <w:sz w:val="18"/>
          <w:szCs w:val="18"/>
        </w:rPr>
        <w:t xml:space="preserve">Rotatoria </w:t>
      </w:r>
      <w:proofErr w:type="spellStart"/>
      <w:r w:rsidRPr="00282DD8">
        <w:rPr>
          <w:sz w:val="18"/>
          <w:szCs w:val="18"/>
        </w:rPr>
        <w:t>Calabernardo</w:t>
      </w:r>
      <w:proofErr w:type="spellEnd"/>
      <w:r w:rsidRPr="00282DD8">
        <w:rPr>
          <w:sz w:val="18"/>
          <w:szCs w:val="18"/>
        </w:rPr>
        <w:t>.</w:t>
      </w:r>
    </w:p>
    <w:p w:rsidR="00347220" w:rsidRPr="00753072" w:rsidRDefault="00347220" w:rsidP="00282DD8">
      <w:pPr>
        <w:autoSpaceDE w:val="0"/>
        <w:autoSpaceDN w:val="0"/>
        <w:adjustRightInd w:val="0"/>
        <w:spacing w:line="240" w:lineRule="auto"/>
        <w:ind w:right="-1"/>
        <w:jc w:val="both"/>
        <w:rPr>
          <w:sz w:val="18"/>
          <w:szCs w:val="18"/>
        </w:rPr>
      </w:pPr>
      <w:r w:rsidRPr="00753072">
        <w:rPr>
          <w:sz w:val="18"/>
          <w:szCs w:val="18"/>
        </w:rPr>
        <w:t>L’opera pubblica è inserita nel Piano Provinciale di Riqualificazione della rete viaria secondaria</w:t>
      </w:r>
      <w:r w:rsidR="00282DD8">
        <w:rPr>
          <w:sz w:val="18"/>
          <w:szCs w:val="18"/>
        </w:rPr>
        <w:t xml:space="preserve"> </w:t>
      </w:r>
      <w:r w:rsidRPr="00753072">
        <w:rPr>
          <w:sz w:val="18"/>
          <w:szCs w:val="18"/>
        </w:rPr>
        <w:t>ed ha un costo comples</w:t>
      </w:r>
      <w:r w:rsidR="00282DD8">
        <w:rPr>
          <w:sz w:val="18"/>
          <w:szCs w:val="18"/>
        </w:rPr>
        <w:t>sivo di € 21.948.000,00, di cui</w:t>
      </w:r>
      <w:r w:rsidRPr="00753072">
        <w:rPr>
          <w:sz w:val="18"/>
          <w:szCs w:val="18"/>
        </w:rPr>
        <w:t>:</w:t>
      </w:r>
    </w:p>
    <w:p w:rsidR="00347220" w:rsidRPr="00753072" w:rsidRDefault="00347220" w:rsidP="00282DD8">
      <w:pPr>
        <w:pStyle w:val="Paragrafoelenco"/>
        <w:widowControl w:val="0"/>
        <w:numPr>
          <w:ilvl w:val="0"/>
          <w:numId w:val="2"/>
        </w:numPr>
        <w:autoSpaceDE w:val="0"/>
        <w:autoSpaceDN w:val="0"/>
        <w:adjustRightInd w:val="0"/>
        <w:spacing w:line="240" w:lineRule="auto"/>
        <w:ind w:right="-1"/>
        <w:contextualSpacing/>
        <w:jc w:val="both"/>
        <w:rPr>
          <w:sz w:val="18"/>
          <w:szCs w:val="18"/>
        </w:rPr>
      </w:pPr>
      <w:r w:rsidRPr="00753072">
        <w:rPr>
          <w:sz w:val="18"/>
          <w:szCs w:val="18"/>
        </w:rPr>
        <w:t>€ 19.943.000,00 a carico del Ministero delle Infrastrutture e trasporti con i fondi ex art. 1152, comma 1 della legge n. 296 del 27/12/2006;</w:t>
      </w:r>
    </w:p>
    <w:p w:rsidR="00347220" w:rsidRPr="00753072" w:rsidRDefault="00347220" w:rsidP="00282DD8">
      <w:pPr>
        <w:pStyle w:val="Paragrafoelenco"/>
        <w:widowControl w:val="0"/>
        <w:numPr>
          <w:ilvl w:val="0"/>
          <w:numId w:val="2"/>
        </w:numPr>
        <w:autoSpaceDE w:val="0"/>
        <w:autoSpaceDN w:val="0"/>
        <w:adjustRightInd w:val="0"/>
        <w:spacing w:line="240" w:lineRule="auto"/>
        <w:ind w:right="-1"/>
        <w:contextualSpacing/>
        <w:jc w:val="both"/>
        <w:rPr>
          <w:sz w:val="18"/>
          <w:szCs w:val="18"/>
        </w:rPr>
      </w:pPr>
      <w:r w:rsidRPr="00753072">
        <w:rPr>
          <w:sz w:val="18"/>
          <w:szCs w:val="18"/>
        </w:rPr>
        <w:t>€ 2.005,000,00 a carico della Provincia Regionale di Siracusa med</w:t>
      </w:r>
      <w:r w:rsidR="00282DD8">
        <w:rPr>
          <w:sz w:val="18"/>
          <w:szCs w:val="18"/>
        </w:rPr>
        <w:t xml:space="preserve">iante Mutuo Cassa </w:t>
      </w:r>
      <w:proofErr w:type="spellStart"/>
      <w:r w:rsidR="00282DD8">
        <w:rPr>
          <w:sz w:val="18"/>
          <w:szCs w:val="18"/>
        </w:rPr>
        <w:t>DD.PP</w:t>
      </w:r>
      <w:proofErr w:type="spellEnd"/>
      <w:r w:rsidR="00282DD8">
        <w:rPr>
          <w:sz w:val="18"/>
          <w:szCs w:val="18"/>
        </w:rPr>
        <w:t>..</w:t>
      </w:r>
    </w:p>
    <w:p w:rsidR="00347220" w:rsidRPr="00753072" w:rsidRDefault="00282DD8" w:rsidP="00347220">
      <w:pPr>
        <w:pStyle w:val="Paragrafoelenco"/>
        <w:widowControl w:val="0"/>
        <w:autoSpaceDE w:val="0"/>
        <w:autoSpaceDN w:val="0"/>
        <w:adjustRightInd w:val="0"/>
        <w:spacing w:line="240" w:lineRule="auto"/>
        <w:ind w:left="0" w:right="-1"/>
        <w:contextualSpacing/>
        <w:jc w:val="both"/>
        <w:rPr>
          <w:sz w:val="18"/>
          <w:szCs w:val="18"/>
        </w:rPr>
      </w:pPr>
      <w:r>
        <w:rPr>
          <w:sz w:val="18"/>
          <w:szCs w:val="18"/>
        </w:rPr>
        <w:t>Il completamento è previsto</w:t>
      </w:r>
      <w:r w:rsidR="00347220" w:rsidRPr="00753072">
        <w:rPr>
          <w:sz w:val="18"/>
          <w:szCs w:val="18"/>
        </w:rPr>
        <w:t xml:space="preserve"> entro il termine di 440 giorni da</w:t>
      </w:r>
      <w:r>
        <w:rPr>
          <w:sz w:val="18"/>
          <w:szCs w:val="18"/>
        </w:rPr>
        <w:t>lla data di consegna dei lavori (avveduta addì 19 luglio 2011).</w:t>
      </w:r>
    </w:p>
    <w:p w:rsidR="00347220" w:rsidRPr="00753072" w:rsidRDefault="00347220" w:rsidP="00347220">
      <w:pPr>
        <w:pStyle w:val="Paragrafoelenco"/>
        <w:widowControl w:val="0"/>
        <w:autoSpaceDE w:val="0"/>
        <w:autoSpaceDN w:val="0"/>
        <w:adjustRightInd w:val="0"/>
        <w:spacing w:line="240" w:lineRule="auto"/>
        <w:ind w:left="0" w:right="-1"/>
        <w:contextualSpacing/>
        <w:jc w:val="both"/>
        <w:rPr>
          <w:b/>
          <w:sz w:val="18"/>
          <w:szCs w:val="18"/>
        </w:rPr>
      </w:pPr>
      <w:r w:rsidRPr="00753072">
        <w:rPr>
          <w:sz w:val="18"/>
          <w:szCs w:val="18"/>
        </w:rPr>
        <w:t xml:space="preserve">Verrà </w:t>
      </w:r>
      <w:r w:rsidR="00282DD8">
        <w:rPr>
          <w:sz w:val="18"/>
          <w:szCs w:val="18"/>
        </w:rPr>
        <w:t xml:space="preserve">rammodernato </w:t>
      </w:r>
      <w:r w:rsidRPr="00753072">
        <w:rPr>
          <w:sz w:val="18"/>
          <w:szCs w:val="18"/>
        </w:rPr>
        <w:t>l’attuale sistema delle strade provinciali che collegano essenzialmente lo svincolo di Noto con la rete infrastrutturali che fa cerniera ad un sistema di rotatorie ubicate nelle interferenze, determinando un nodo infrastrutturale strategico, tangenziale alla città di Noto di eccezionale valenza per l’intero comprensorio.</w:t>
      </w:r>
    </w:p>
    <w:p w:rsidR="00347220" w:rsidRPr="00753072" w:rsidRDefault="00347220" w:rsidP="00347220">
      <w:pPr>
        <w:pStyle w:val="Rientrocorpodeltesto"/>
        <w:spacing w:after="0"/>
        <w:ind w:left="0"/>
        <w:jc w:val="both"/>
        <w:rPr>
          <w:sz w:val="18"/>
          <w:szCs w:val="18"/>
        </w:rPr>
      </w:pPr>
      <w:r w:rsidRPr="00753072">
        <w:rPr>
          <w:sz w:val="18"/>
          <w:szCs w:val="18"/>
        </w:rPr>
        <w:t>In esso infatti convergono le relazioni più importanti:</w:t>
      </w:r>
    </w:p>
    <w:p w:rsidR="00347220" w:rsidRPr="00753072" w:rsidRDefault="00347220" w:rsidP="00347220">
      <w:pPr>
        <w:pStyle w:val="Rientrocorpodeltesto"/>
        <w:spacing w:before="60" w:after="0" w:line="240" w:lineRule="auto"/>
        <w:ind w:left="0" w:right="0"/>
        <w:jc w:val="both"/>
        <w:rPr>
          <w:sz w:val="18"/>
          <w:szCs w:val="18"/>
        </w:rPr>
      </w:pPr>
      <w:r w:rsidRPr="00753072">
        <w:rPr>
          <w:sz w:val="18"/>
          <w:szCs w:val="18"/>
        </w:rPr>
        <w:t xml:space="preserve">    Entroterra - Noto centro - mare (verso le contrade marinare </w:t>
      </w:r>
      <w:proofErr w:type="spellStart"/>
      <w:r w:rsidRPr="00753072">
        <w:rPr>
          <w:sz w:val="18"/>
          <w:szCs w:val="18"/>
        </w:rPr>
        <w:t>Calabernardo</w:t>
      </w:r>
      <w:proofErr w:type="spellEnd"/>
      <w:r w:rsidRPr="00753072">
        <w:rPr>
          <w:sz w:val="18"/>
          <w:szCs w:val="18"/>
        </w:rPr>
        <w:t xml:space="preserve"> e Lido)</w:t>
      </w:r>
    </w:p>
    <w:p w:rsidR="00347220" w:rsidRPr="00753072" w:rsidRDefault="00347220" w:rsidP="00347220">
      <w:pPr>
        <w:pStyle w:val="Rientrocorpodeltesto"/>
        <w:spacing w:before="60" w:after="0" w:line="240" w:lineRule="auto"/>
        <w:ind w:left="0" w:right="0"/>
        <w:jc w:val="both"/>
        <w:rPr>
          <w:sz w:val="18"/>
          <w:szCs w:val="18"/>
        </w:rPr>
      </w:pPr>
      <w:r w:rsidRPr="00753072">
        <w:rPr>
          <w:sz w:val="18"/>
          <w:szCs w:val="18"/>
        </w:rPr>
        <w:t xml:space="preserve">    Entroterra - Noto centro - Siracusa (via autostrada)</w:t>
      </w:r>
    </w:p>
    <w:p w:rsidR="00347220" w:rsidRPr="00753072" w:rsidRDefault="00347220" w:rsidP="00347220">
      <w:pPr>
        <w:pStyle w:val="Rientrocorpodeltesto"/>
        <w:spacing w:before="60" w:after="0" w:line="240" w:lineRule="auto"/>
        <w:ind w:left="0" w:right="0"/>
        <w:jc w:val="both"/>
        <w:rPr>
          <w:sz w:val="18"/>
          <w:szCs w:val="18"/>
        </w:rPr>
      </w:pPr>
      <w:r w:rsidRPr="00753072">
        <w:rPr>
          <w:sz w:val="18"/>
          <w:szCs w:val="18"/>
        </w:rPr>
        <w:t xml:space="preserve">    Entroterra - Noto centro - Rosolini (via autostrada)</w:t>
      </w:r>
    </w:p>
    <w:p w:rsidR="00347220" w:rsidRPr="00753072" w:rsidRDefault="00347220" w:rsidP="00347220">
      <w:pPr>
        <w:pStyle w:val="Rientrocorpodeltesto"/>
        <w:spacing w:before="60" w:after="0" w:line="240" w:lineRule="auto"/>
        <w:ind w:left="0" w:right="0"/>
        <w:jc w:val="both"/>
        <w:rPr>
          <w:sz w:val="18"/>
          <w:szCs w:val="18"/>
        </w:rPr>
      </w:pPr>
      <w:r w:rsidRPr="00753072">
        <w:rPr>
          <w:sz w:val="18"/>
          <w:szCs w:val="18"/>
        </w:rPr>
        <w:t xml:space="preserve">    Entroterra - Noto centro- sud (verso le contrade marinare S. Lorenzo – </w:t>
      </w:r>
      <w:proofErr w:type="spellStart"/>
      <w:r w:rsidRPr="00753072">
        <w:rPr>
          <w:sz w:val="18"/>
          <w:szCs w:val="18"/>
        </w:rPr>
        <w:t>Marzamemi</w:t>
      </w:r>
      <w:proofErr w:type="spellEnd"/>
      <w:r w:rsidRPr="00753072">
        <w:rPr>
          <w:sz w:val="18"/>
          <w:szCs w:val="18"/>
        </w:rPr>
        <w:t xml:space="preserve"> e Pachino)</w:t>
      </w:r>
    </w:p>
    <w:p w:rsidR="00347220" w:rsidRPr="00753072" w:rsidRDefault="00347220" w:rsidP="00347220">
      <w:pPr>
        <w:autoSpaceDE w:val="0"/>
        <w:autoSpaceDN w:val="0"/>
        <w:adjustRightInd w:val="0"/>
        <w:spacing w:line="240" w:lineRule="auto"/>
        <w:ind w:right="-1"/>
        <w:jc w:val="both"/>
        <w:rPr>
          <w:sz w:val="18"/>
          <w:szCs w:val="18"/>
        </w:rPr>
      </w:pPr>
      <w:r w:rsidRPr="00753072">
        <w:rPr>
          <w:sz w:val="18"/>
          <w:szCs w:val="18"/>
        </w:rPr>
        <w:t>La procedura utilizzata per affidare l’intervento in questione è stata quella del pubblico incanto con le modalità dell’appalto integrato, che pone in capo alla ditta aggiudicataria il compito di redigere il progetto esecutivo e quell</w:t>
      </w:r>
      <w:r w:rsidR="00282DD8">
        <w:rPr>
          <w:sz w:val="18"/>
          <w:szCs w:val="18"/>
        </w:rPr>
        <w:t>o di eseguire i relativi lavori</w:t>
      </w:r>
      <w:r w:rsidRPr="00753072">
        <w:rPr>
          <w:sz w:val="18"/>
          <w:szCs w:val="18"/>
        </w:rPr>
        <w:t>.</w:t>
      </w:r>
    </w:p>
    <w:p w:rsidR="00347220" w:rsidRPr="00753072" w:rsidRDefault="00282DD8" w:rsidP="00282DD8">
      <w:pPr>
        <w:autoSpaceDE w:val="0"/>
        <w:autoSpaceDN w:val="0"/>
        <w:adjustRightInd w:val="0"/>
        <w:spacing w:line="240" w:lineRule="auto"/>
        <w:ind w:right="-1"/>
        <w:jc w:val="both"/>
        <w:rPr>
          <w:sz w:val="18"/>
          <w:szCs w:val="18"/>
        </w:rPr>
      </w:pPr>
      <w:r>
        <w:rPr>
          <w:sz w:val="18"/>
          <w:szCs w:val="18"/>
        </w:rPr>
        <w:t xml:space="preserve">Precisamente, </w:t>
      </w:r>
      <w:r w:rsidR="00347220" w:rsidRPr="00753072">
        <w:rPr>
          <w:sz w:val="18"/>
          <w:szCs w:val="18"/>
        </w:rPr>
        <w:t>con Deliberazione di Giunta Provinciale n.</w:t>
      </w:r>
      <w:r>
        <w:rPr>
          <w:sz w:val="18"/>
          <w:szCs w:val="18"/>
        </w:rPr>
        <w:t xml:space="preserve"> </w:t>
      </w:r>
      <w:r w:rsidR="00347220" w:rsidRPr="00753072">
        <w:rPr>
          <w:sz w:val="18"/>
          <w:szCs w:val="18"/>
        </w:rPr>
        <w:t>279 del 29/09/2009</w:t>
      </w:r>
      <w:r>
        <w:rPr>
          <w:sz w:val="18"/>
          <w:szCs w:val="18"/>
        </w:rPr>
        <w:t>,</w:t>
      </w:r>
      <w:r w:rsidR="00347220" w:rsidRPr="00753072">
        <w:rPr>
          <w:sz w:val="18"/>
          <w:szCs w:val="18"/>
        </w:rPr>
        <w:t xml:space="preserve"> è stato approvato il progetto definitivo per l'importo totale previsto di €.14.671.</w:t>
      </w:r>
      <w:r>
        <w:rPr>
          <w:sz w:val="18"/>
          <w:szCs w:val="18"/>
        </w:rPr>
        <w:t>858,99 oltre IVA (20%), di cui</w:t>
      </w:r>
      <w:r w:rsidR="00347220" w:rsidRPr="00753072">
        <w:rPr>
          <w:sz w:val="18"/>
          <w:szCs w:val="18"/>
        </w:rPr>
        <w:t>:</w:t>
      </w:r>
    </w:p>
    <w:p w:rsidR="00347220" w:rsidRPr="00753072" w:rsidRDefault="00347220" w:rsidP="00282DD8">
      <w:pPr>
        <w:pStyle w:val="Paragrafoelenco"/>
        <w:widowControl w:val="0"/>
        <w:numPr>
          <w:ilvl w:val="0"/>
          <w:numId w:val="2"/>
        </w:numPr>
        <w:autoSpaceDE w:val="0"/>
        <w:autoSpaceDN w:val="0"/>
        <w:adjustRightInd w:val="0"/>
        <w:spacing w:line="240" w:lineRule="auto"/>
        <w:ind w:right="-1"/>
        <w:contextualSpacing/>
        <w:jc w:val="both"/>
        <w:rPr>
          <w:sz w:val="18"/>
          <w:szCs w:val="18"/>
        </w:rPr>
      </w:pPr>
      <w:r w:rsidRPr="00753072">
        <w:rPr>
          <w:sz w:val="18"/>
          <w:szCs w:val="18"/>
        </w:rPr>
        <w:t>€.14.150.200,16 per importo a base di gara;</w:t>
      </w:r>
    </w:p>
    <w:p w:rsidR="00347220" w:rsidRPr="00753072" w:rsidRDefault="00347220" w:rsidP="00282DD8">
      <w:pPr>
        <w:pStyle w:val="Paragrafoelenco"/>
        <w:widowControl w:val="0"/>
        <w:numPr>
          <w:ilvl w:val="0"/>
          <w:numId w:val="2"/>
        </w:numPr>
        <w:autoSpaceDE w:val="0"/>
        <w:autoSpaceDN w:val="0"/>
        <w:adjustRightInd w:val="0"/>
        <w:spacing w:line="240" w:lineRule="auto"/>
        <w:ind w:right="-1"/>
        <w:contextualSpacing/>
        <w:jc w:val="both"/>
        <w:rPr>
          <w:sz w:val="18"/>
          <w:szCs w:val="18"/>
        </w:rPr>
      </w:pPr>
      <w:r w:rsidRPr="00753072">
        <w:rPr>
          <w:sz w:val="18"/>
          <w:szCs w:val="18"/>
        </w:rPr>
        <w:t>€.334.873,74 per oneri relativi ai costi per la sicurezza non soggetti a ribasso;</w:t>
      </w:r>
    </w:p>
    <w:p w:rsidR="00347220" w:rsidRPr="00753072" w:rsidRDefault="00347220" w:rsidP="00282DD8">
      <w:pPr>
        <w:pStyle w:val="Paragrafoelenco"/>
        <w:widowControl w:val="0"/>
        <w:numPr>
          <w:ilvl w:val="0"/>
          <w:numId w:val="2"/>
        </w:numPr>
        <w:autoSpaceDE w:val="0"/>
        <w:autoSpaceDN w:val="0"/>
        <w:adjustRightInd w:val="0"/>
        <w:spacing w:line="240" w:lineRule="auto"/>
        <w:ind w:right="-1"/>
        <w:contextualSpacing/>
        <w:jc w:val="both"/>
        <w:rPr>
          <w:sz w:val="18"/>
          <w:szCs w:val="18"/>
        </w:rPr>
      </w:pPr>
      <w:r w:rsidRPr="00753072">
        <w:rPr>
          <w:sz w:val="18"/>
          <w:szCs w:val="18"/>
        </w:rPr>
        <w:t>€.186.785,09 per progettazione esecutiva non soggetta a ribasso;</w:t>
      </w:r>
    </w:p>
    <w:p w:rsidR="00347220" w:rsidRPr="00753072" w:rsidRDefault="00282DD8" w:rsidP="00347220">
      <w:pPr>
        <w:pStyle w:val="Paragrafoelenco"/>
        <w:widowControl w:val="0"/>
        <w:autoSpaceDE w:val="0"/>
        <w:autoSpaceDN w:val="0"/>
        <w:adjustRightInd w:val="0"/>
        <w:spacing w:line="240" w:lineRule="auto"/>
        <w:ind w:left="0" w:right="-1"/>
        <w:contextualSpacing/>
        <w:jc w:val="both"/>
        <w:rPr>
          <w:color w:val="000000"/>
          <w:sz w:val="18"/>
          <w:szCs w:val="18"/>
        </w:rPr>
      </w:pPr>
      <w:r>
        <w:rPr>
          <w:color w:val="000000"/>
          <w:sz w:val="18"/>
          <w:szCs w:val="18"/>
        </w:rPr>
        <w:t>c</w:t>
      </w:r>
      <w:r w:rsidR="00347220" w:rsidRPr="00753072">
        <w:rPr>
          <w:color w:val="000000"/>
          <w:sz w:val="18"/>
          <w:szCs w:val="18"/>
        </w:rPr>
        <w:t xml:space="preserve">on Determinazione Dirigenziale n.124 del 23/12/2010, i lavori sono stati aggiudicati all'A.T.I. </w:t>
      </w:r>
      <w:r w:rsidR="00347220" w:rsidRPr="00753072">
        <w:rPr>
          <w:sz w:val="18"/>
          <w:szCs w:val="18"/>
        </w:rPr>
        <w:t xml:space="preserve">Sicula Costruzioni Soc. Coop. (Capogruppo) e Blu Costruzioni s.r.l.(mandante), </w:t>
      </w:r>
      <w:r w:rsidR="00347220" w:rsidRPr="00753072">
        <w:rPr>
          <w:color w:val="000000"/>
          <w:sz w:val="18"/>
          <w:szCs w:val="18"/>
        </w:rPr>
        <w:t>per il prezzo complessivo di €.12.533.763,75 oltre IVA .</w:t>
      </w:r>
    </w:p>
    <w:p w:rsidR="00347220" w:rsidRPr="00753072" w:rsidRDefault="00347220" w:rsidP="00282DD8">
      <w:pPr>
        <w:autoSpaceDE w:val="0"/>
        <w:autoSpaceDN w:val="0"/>
        <w:adjustRightInd w:val="0"/>
        <w:spacing w:line="240" w:lineRule="auto"/>
        <w:ind w:right="-1"/>
        <w:jc w:val="both"/>
        <w:rPr>
          <w:sz w:val="18"/>
          <w:szCs w:val="18"/>
        </w:rPr>
      </w:pPr>
      <w:r w:rsidRPr="00753072">
        <w:rPr>
          <w:color w:val="000000"/>
          <w:sz w:val="18"/>
          <w:szCs w:val="18"/>
        </w:rPr>
        <w:t xml:space="preserve">L’intervento in questione si affianca a quello della Bretella </w:t>
      </w:r>
      <w:proofErr w:type="spellStart"/>
      <w:r w:rsidRPr="00753072">
        <w:rPr>
          <w:color w:val="000000"/>
          <w:sz w:val="18"/>
          <w:szCs w:val="18"/>
        </w:rPr>
        <w:t>Pachino-Noto</w:t>
      </w:r>
      <w:proofErr w:type="spellEnd"/>
      <w:r w:rsidRPr="00753072">
        <w:rPr>
          <w:color w:val="000000"/>
          <w:sz w:val="18"/>
          <w:szCs w:val="18"/>
        </w:rPr>
        <w:t xml:space="preserve">, </w:t>
      </w:r>
      <w:proofErr w:type="spellStart"/>
      <w:r w:rsidRPr="00753072">
        <w:rPr>
          <w:color w:val="000000"/>
          <w:sz w:val="18"/>
          <w:szCs w:val="18"/>
        </w:rPr>
        <w:t>giacchè</w:t>
      </w:r>
      <w:proofErr w:type="spellEnd"/>
      <w:r w:rsidRPr="00753072">
        <w:rPr>
          <w:color w:val="000000"/>
          <w:sz w:val="18"/>
          <w:szCs w:val="18"/>
        </w:rPr>
        <w:t xml:space="preserve"> entramb</w:t>
      </w:r>
      <w:r w:rsidR="00282DD8">
        <w:rPr>
          <w:color w:val="000000"/>
          <w:sz w:val="18"/>
          <w:szCs w:val="18"/>
        </w:rPr>
        <w:t xml:space="preserve">e le opere sono dirette </w:t>
      </w:r>
      <w:r w:rsidRPr="00753072">
        <w:rPr>
          <w:color w:val="000000"/>
          <w:sz w:val="18"/>
          <w:szCs w:val="18"/>
        </w:rPr>
        <w:t xml:space="preserve">a </w:t>
      </w:r>
      <w:r w:rsidRPr="00753072">
        <w:rPr>
          <w:sz w:val="18"/>
          <w:szCs w:val="18"/>
        </w:rPr>
        <w:t>snellire e al tempo stesso ridurre i tempi di percorrenza degli utenti (locali e non) che si spostano lungo due dei più importanti centri attrattivi della provincia di Siracusa</w:t>
      </w:r>
      <w:r w:rsidR="00282DD8">
        <w:rPr>
          <w:sz w:val="18"/>
          <w:szCs w:val="18"/>
        </w:rPr>
        <w:t xml:space="preserve">, ossia </w:t>
      </w:r>
      <w:r w:rsidRPr="00753072">
        <w:rPr>
          <w:sz w:val="18"/>
          <w:szCs w:val="18"/>
        </w:rPr>
        <w:t>Noto</w:t>
      </w:r>
      <w:r w:rsidR="00282DD8">
        <w:rPr>
          <w:sz w:val="18"/>
          <w:szCs w:val="18"/>
        </w:rPr>
        <w:t xml:space="preserve"> e Pachino.</w:t>
      </w:r>
    </w:p>
    <w:p w:rsidR="00E97058" w:rsidRDefault="00DC367F"/>
    <w:sectPr w:rsidR="00E97058" w:rsidSect="00E57F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375FA"/>
    <w:multiLevelType w:val="hybridMultilevel"/>
    <w:tmpl w:val="2C1EF1A6"/>
    <w:lvl w:ilvl="0" w:tplc="5910120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D182192"/>
    <w:multiLevelType w:val="hybridMultilevel"/>
    <w:tmpl w:val="991A1934"/>
    <w:lvl w:ilvl="0" w:tplc="467EC72C">
      <w:numFmt w:val="bullet"/>
      <w:lvlText w:val="-"/>
      <w:lvlJc w:val="left"/>
      <w:pPr>
        <w:ind w:left="600" w:hanging="360"/>
      </w:pPr>
      <w:rPr>
        <w:rFonts w:ascii="Times New Roman" w:eastAsia="Calibri" w:hAnsi="Times New Roman" w:cs="Times New Roman"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347220"/>
    <w:rsid w:val="00282DD8"/>
    <w:rsid w:val="00347220"/>
    <w:rsid w:val="005A39D5"/>
    <w:rsid w:val="009E0A31"/>
    <w:rsid w:val="009F78FC"/>
    <w:rsid w:val="00DC367F"/>
    <w:rsid w:val="00DF00AC"/>
    <w:rsid w:val="00E57F00"/>
    <w:rsid w:val="00F00E6C"/>
    <w:rsid w:val="00F421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7220"/>
    <w:pPr>
      <w:spacing w:after="0" w:line="320" w:lineRule="atLeast"/>
      <w:ind w:right="714"/>
    </w:pPr>
    <w:rPr>
      <w:rFonts w:ascii="Calibri" w:eastAsia="Calibri" w:hAnsi="Calibri" w:cs="Times New Roman"/>
    </w:rPr>
  </w:style>
  <w:style w:type="paragraph" w:styleId="Titolo1">
    <w:name w:val="heading 1"/>
    <w:basedOn w:val="Normale"/>
    <w:next w:val="Normale"/>
    <w:link w:val="Titolo1Carattere"/>
    <w:uiPriority w:val="9"/>
    <w:qFormat/>
    <w:rsid w:val="00F00E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00E6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0E6C"/>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00E6C"/>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F00E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00E6C"/>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00E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00E6C"/>
    <w:rPr>
      <w:rFonts w:asciiTheme="majorHAnsi" w:eastAsiaTheme="majorEastAsia" w:hAnsiTheme="majorHAnsi" w:cstheme="majorBidi"/>
      <w:i/>
      <w:iCs/>
      <w:color w:val="4F81BD" w:themeColor="accent1"/>
      <w:spacing w:val="15"/>
      <w:sz w:val="24"/>
      <w:szCs w:val="24"/>
    </w:rPr>
  </w:style>
  <w:style w:type="paragraph" w:styleId="Nessunaspaziatura">
    <w:name w:val="No Spacing"/>
    <w:uiPriority w:val="1"/>
    <w:qFormat/>
    <w:rsid w:val="00F00E6C"/>
    <w:pPr>
      <w:spacing w:after="0" w:line="240" w:lineRule="auto"/>
    </w:pPr>
  </w:style>
  <w:style w:type="paragraph" w:styleId="Rientrocorpodeltesto">
    <w:name w:val="Body Text Indent"/>
    <w:basedOn w:val="Normale"/>
    <w:link w:val="RientrocorpodeltestoCarattere"/>
    <w:rsid w:val="00347220"/>
    <w:pPr>
      <w:spacing w:after="120"/>
      <w:ind w:left="283"/>
    </w:pPr>
  </w:style>
  <w:style w:type="character" w:customStyle="1" w:styleId="RientrocorpodeltestoCarattere">
    <w:name w:val="Rientro corpo del testo Carattere"/>
    <w:basedOn w:val="Carpredefinitoparagrafo"/>
    <w:link w:val="Rientrocorpodeltesto"/>
    <w:rsid w:val="00347220"/>
    <w:rPr>
      <w:rFonts w:ascii="Calibri" w:eastAsia="Calibri" w:hAnsi="Calibri" w:cs="Times New Roman"/>
    </w:rPr>
  </w:style>
  <w:style w:type="paragraph" w:styleId="Paragrafoelenco">
    <w:name w:val="List Paragraph"/>
    <w:basedOn w:val="Normale"/>
    <w:uiPriority w:val="34"/>
    <w:qFormat/>
    <w:rsid w:val="00347220"/>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456</Words>
  <Characters>2605</Characters>
  <Application>Microsoft Office Word</Application>
  <DocSecurity>0</DocSecurity>
  <Lines>21</Lines>
  <Paragraphs>6</Paragraphs>
  <ScaleCrop>false</ScaleCrop>
  <Company>BASTARDS TeaM</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2011-07-19T15:49:00Z</dcterms:created>
  <dcterms:modified xsi:type="dcterms:W3CDTF">2011-07-19T15:56:00Z</dcterms:modified>
</cp:coreProperties>
</file>